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6B4" w:rsidRPr="00295136" w:rsidRDefault="00365B73" w:rsidP="006F6291">
      <w:pPr>
        <w:tabs>
          <w:tab w:val="left" w:pos="9720"/>
        </w:tabs>
        <w:ind w:left="-360" w:right="-360"/>
        <w:jc w:val="center"/>
        <w:rPr>
          <w:sz w:val="28"/>
          <w:szCs w:val="28"/>
        </w:rPr>
      </w:pPr>
      <w:bookmarkStart w:id="0" w:name="_GoBack"/>
      <w:bookmarkEnd w:id="0"/>
      <w:r w:rsidRPr="00295136">
        <w:rPr>
          <w:sz w:val="28"/>
          <w:szCs w:val="28"/>
        </w:rPr>
        <w:t>Major findings coming from research studying nPOD samples</w:t>
      </w:r>
    </w:p>
    <w:p w:rsidR="00365B73" w:rsidRDefault="00365B73" w:rsidP="006F6291">
      <w:pPr>
        <w:pStyle w:val="ListParagraph"/>
        <w:numPr>
          <w:ilvl w:val="0"/>
          <w:numId w:val="2"/>
        </w:numPr>
        <w:tabs>
          <w:tab w:val="left" w:pos="9720"/>
        </w:tabs>
        <w:autoSpaceDE w:val="0"/>
        <w:autoSpaceDN w:val="0"/>
        <w:adjustRightInd w:val="0"/>
        <w:spacing w:before="240" w:after="240" w:line="240" w:lineRule="auto"/>
        <w:ind w:left="-360" w:right="-360"/>
        <w:rPr>
          <w:rFonts w:ascii="AdvTT3713a231" w:hAnsi="AdvTT3713a231" w:cs="AdvTT3713a231"/>
          <w:color w:val="131413"/>
          <w:sz w:val="20"/>
          <w:szCs w:val="20"/>
        </w:rPr>
      </w:pPr>
      <w:r w:rsidRPr="00365B73">
        <w:rPr>
          <w:rFonts w:ascii="AdvTT3713a231" w:hAnsi="AdvTT3713a231" w:cs="AdvTT3713a231"/>
          <w:color w:val="131413"/>
          <w:sz w:val="20"/>
          <w:szCs w:val="20"/>
        </w:rPr>
        <w:t xml:space="preserve">Insulitis has been demonstrated in two of three non-diabetic donors with multiple autoantibodies but not in any of the 18 donors with a single autoantibody. However, evidence for abnormalities affecting the </w:t>
      </w:r>
      <w:r>
        <w:rPr>
          <w:rFonts w:ascii="AdvTT3713a231" w:hAnsi="AdvTT3713a231" w:cs="AdvTT3713a231"/>
          <w:color w:val="131413"/>
          <w:sz w:val="20"/>
          <w:szCs w:val="20"/>
        </w:rPr>
        <w:t>pancreas of donors p</w:t>
      </w:r>
      <w:r w:rsidRPr="00365B73">
        <w:rPr>
          <w:rFonts w:ascii="AdvTT3713a231" w:hAnsi="AdvTT3713a231" w:cs="AdvTT3713a231"/>
          <w:color w:val="131413"/>
          <w:sz w:val="20"/>
          <w:szCs w:val="20"/>
        </w:rPr>
        <w:t>ointing at some initial stages in the disease pathogenesis that may or may not necessarily progress to overt disease but could be important co-factors in their own right or if more sustained autoimmunity was triggered.</w:t>
      </w:r>
    </w:p>
    <w:p w:rsidR="00214140" w:rsidRPr="00365B73" w:rsidRDefault="00214140" w:rsidP="006F6291">
      <w:pPr>
        <w:pStyle w:val="ListParagraph"/>
        <w:tabs>
          <w:tab w:val="left" w:pos="9720"/>
        </w:tabs>
        <w:autoSpaceDE w:val="0"/>
        <w:autoSpaceDN w:val="0"/>
        <w:adjustRightInd w:val="0"/>
        <w:spacing w:before="240" w:after="240" w:line="240" w:lineRule="auto"/>
        <w:ind w:left="-360" w:right="-360"/>
        <w:rPr>
          <w:rFonts w:ascii="AdvTT3713a231" w:hAnsi="AdvTT3713a231" w:cs="AdvTT3713a231"/>
          <w:color w:val="131413"/>
          <w:sz w:val="20"/>
          <w:szCs w:val="20"/>
        </w:rPr>
      </w:pPr>
    </w:p>
    <w:p w:rsidR="00214140" w:rsidRDefault="00214140" w:rsidP="006F6291">
      <w:pPr>
        <w:pStyle w:val="ListParagraph"/>
        <w:numPr>
          <w:ilvl w:val="0"/>
          <w:numId w:val="2"/>
        </w:numPr>
        <w:tabs>
          <w:tab w:val="left" w:pos="9720"/>
        </w:tabs>
        <w:autoSpaceDE w:val="0"/>
        <w:autoSpaceDN w:val="0"/>
        <w:adjustRightInd w:val="0"/>
        <w:spacing w:before="240" w:after="240" w:line="240" w:lineRule="auto"/>
        <w:ind w:left="-360" w:right="-360"/>
        <w:rPr>
          <w:rFonts w:ascii="AdvTT3713a231" w:hAnsi="AdvTT3713a231" w:cs="AdvTT3713a231"/>
          <w:color w:val="131413"/>
          <w:sz w:val="20"/>
          <w:szCs w:val="20"/>
        </w:rPr>
      </w:pPr>
      <w:r w:rsidRPr="00214140">
        <w:rPr>
          <w:rFonts w:ascii="AdvTT3713a231" w:hAnsi="AdvTT3713a231" w:cs="AdvTT3713a231"/>
          <w:color w:val="131413"/>
          <w:sz w:val="20"/>
          <w:szCs w:val="20"/>
        </w:rPr>
        <w:t xml:space="preserve">Examination of nPOD specimens also shows that human insulitis is rarely as severe as reported in the NOD mouse, an experimental model that presents striking similarity with the human disease. Based on the findings and an extensive pathology review of historical T1D cases, consensus definition of human insulitis that is hoped will provide consistency for interpretation and data comparison across future studies. Another important finding is that insulitis may be present in some cases for many years after diagnosis. </w:t>
      </w:r>
    </w:p>
    <w:p w:rsidR="00214140" w:rsidRPr="00214140" w:rsidRDefault="00214140" w:rsidP="006F6291">
      <w:pPr>
        <w:pStyle w:val="ListParagraph"/>
        <w:tabs>
          <w:tab w:val="left" w:pos="9720"/>
        </w:tabs>
        <w:ind w:left="-360" w:right="-360"/>
        <w:rPr>
          <w:rFonts w:ascii="AdvTT3713a231" w:hAnsi="AdvTT3713a231" w:cs="AdvTT3713a231"/>
          <w:color w:val="131413"/>
          <w:sz w:val="20"/>
          <w:szCs w:val="20"/>
        </w:rPr>
      </w:pPr>
    </w:p>
    <w:p w:rsidR="006D00C6" w:rsidRDefault="00214140" w:rsidP="006F6291">
      <w:pPr>
        <w:pStyle w:val="ListParagraph"/>
        <w:numPr>
          <w:ilvl w:val="0"/>
          <w:numId w:val="2"/>
        </w:numPr>
        <w:tabs>
          <w:tab w:val="left" w:pos="9720"/>
        </w:tabs>
        <w:autoSpaceDE w:val="0"/>
        <w:autoSpaceDN w:val="0"/>
        <w:adjustRightInd w:val="0"/>
        <w:spacing w:before="240" w:after="240" w:line="240" w:lineRule="auto"/>
        <w:ind w:left="-360" w:right="-360"/>
        <w:rPr>
          <w:rFonts w:ascii="AdvTT3713a231" w:hAnsi="AdvTT3713a231" w:cs="AdvTT3713a231"/>
          <w:color w:val="131413"/>
          <w:sz w:val="20"/>
          <w:szCs w:val="20"/>
        </w:rPr>
      </w:pPr>
      <w:r w:rsidRPr="00214140">
        <w:rPr>
          <w:rFonts w:ascii="AdvTT3713a231" w:hAnsi="AdvTT3713a231" w:cs="AdvTT3713a231"/>
          <w:color w:val="131413"/>
          <w:sz w:val="20"/>
          <w:szCs w:val="20"/>
        </w:rPr>
        <w:t>Studies on nPOD cases with insulitis reveal that islet autoantigen-specific CD8 T cells are present in the insulitis lesion, produced initial evidence for an evolution of the inflammatory lesion. Thus, those autoreactive T cells and antigen specificities can be considered validated therapeutic targets.</w:t>
      </w:r>
    </w:p>
    <w:p w:rsidR="006D00C6" w:rsidRPr="006D00C6" w:rsidRDefault="006D00C6" w:rsidP="006F6291">
      <w:pPr>
        <w:pStyle w:val="ListParagraph"/>
        <w:tabs>
          <w:tab w:val="left" w:pos="9720"/>
        </w:tabs>
        <w:ind w:left="-360" w:right="-360"/>
        <w:rPr>
          <w:rFonts w:ascii="AdvTT3713a231" w:hAnsi="AdvTT3713a231" w:cs="AdvTT3713a231"/>
          <w:color w:val="131413"/>
          <w:sz w:val="20"/>
          <w:szCs w:val="20"/>
        </w:rPr>
      </w:pPr>
    </w:p>
    <w:p w:rsidR="006D00C6" w:rsidRDefault="006D00C6" w:rsidP="006F6291">
      <w:pPr>
        <w:pStyle w:val="ListParagraph"/>
        <w:numPr>
          <w:ilvl w:val="0"/>
          <w:numId w:val="2"/>
        </w:numPr>
        <w:tabs>
          <w:tab w:val="left" w:pos="9720"/>
        </w:tabs>
        <w:autoSpaceDE w:val="0"/>
        <w:autoSpaceDN w:val="0"/>
        <w:adjustRightInd w:val="0"/>
        <w:spacing w:before="240" w:after="240" w:line="240" w:lineRule="auto"/>
        <w:ind w:left="-360" w:right="-360"/>
        <w:rPr>
          <w:rFonts w:ascii="AdvTT3713a231" w:hAnsi="AdvTT3713a231" w:cs="AdvTT3713a231"/>
          <w:color w:val="131413"/>
          <w:sz w:val="20"/>
          <w:szCs w:val="20"/>
        </w:rPr>
      </w:pPr>
      <w:r w:rsidRPr="006D00C6">
        <w:rPr>
          <w:rFonts w:ascii="AdvTT3713a231" w:hAnsi="AdvTT3713a231" w:cs="AdvTT3713a231"/>
          <w:color w:val="131413"/>
          <w:sz w:val="20"/>
          <w:szCs w:val="20"/>
        </w:rPr>
        <w:t xml:space="preserve">In the thymus, expression of self-molecules has been ascribed to </w:t>
      </w:r>
      <w:proofErr w:type="spellStart"/>
      <w:r w:rsidRPr="006D00C6">
        <w:rPr>
          <w:rFonts w:ascii="AdvTT3713a231" w:hAnsi="AdvTT3713a231" w:cs="AdvTT3713a231"/>
          <w:color w:val="131413"/>
          <w:sz w:val="20"/>
          <w:szCs w:val="20"/>
        </w:rPr>
        <w:t>thymic</w:t>
      </w:r>
      <w:proofErr w:type="spellEnd"/>
      <w:r w:rsidRPr="006D00C6">
        <w:rPr>
          <w:rFonts w:ascii="AdvTT3713a231" w:hAnsi="AdvTT3713a231" w:cs="AdvTT3713a231"/>
          <w:color w:val="131413"/>
          <w:sz w:val="20"/>
          <w:szCs w:val="20"/>
        </w:rPr>
        <w:t xml:space="preserve"> epithelial cells and bone marrow derived antigen-presenting cells and largely depend on the </w:t>
      </w:r>
      <w:proofErr w:type="spellStart"/>
      <w:r w:rsidRPr="006D00C6">
        <w:rPr>
          <w:rFonts w:ascii="AdvTT50a2f13e.I" w:hAnsi="AdvTT50a2f13e.I" w:cs="AdvTT50a2f13e.I"/>
          <w:color w:val="131413"/>
          <w:sz w:val="20"/>
          <w:szCs w:val="20"/>
        </w:rPr>
        <w:t>Aire</w:t>
      </w:r>
      <w:proofErr w:type="spellEnd"/>
      <w:r w:rsidRPr="006D00C6">
        <w:rPr>
          <w:rFonts w:ascii="AdvTT50a2f13e.I" w:hAnsi="AdvTT50a2f13e.I" w:cs="AdvTT50a2f13e.I"/>
          <w:color w:val="131413"/>
          <w:sz w:val="20"/>
          <w:szCs w:val="20"/>
        </w:rPr>
        <w:t xml:space="preserve"> </w:t>
      </w:r>
      <w:r w:rsidRPr="006D00C6">
        <w:rPr>
          <w:rFonts w:ascii="AdvTT3713a231" w:hAnsi="AdvTT3713a231" w:cs="AdvTT3713a231"/>
          <w:color w:val="131413"/>
          <w:sz w:val="20"/>
          <w:szCs w:val="20"/>
        </w:rPr>
        <w:t>transcription factor, also known as the autoimmune regulator The analysis of pancreatic lymph nodes showed that self-molecule genes are expressed at reduced levels in T1D compared to non-diabetic nPOD donors; such a reduction appears dependent on the induction of alternative splicing of the Deaf1 transcription factor, which is also linked to the transcription of self-molecule genes. Alternative splicing of Deaf1 may be caused by inflammation, which in turn impairs expression of the eukaryotic translation initiation factor 4 gamma 3.</w:t>
      </w:r>
    </w:p>
    <w:p w:rsidR="00CD62AE" w:rsidRPr="00CD62AE" w:rsidRDefault="00CD62AE" w:rsidP="006F6291">
      <w:pPr>
        <w:pStyle w:val="ListParagraph"/>
        <w:tabs>
          <w:tab w:val="left" w:pos="9720"/>
        </w:tabs>
        <w:ind w:left="-360" w:right="-360"/>
        <w:rPr>
          <w:rFonts w:ascii="AdvTT3713a231" w:hAnsi="AdvTT3713a231" w:cs="AdvTT3713a231"/>
          <w:color w:val="131413"/>
          <w:sz w:val="20"/>
          <w:szCs w:val="20"/>
        </w:rPr>
      </w:pPr>
    </w:p>
    <w:p w:rsidR="00CD62AE" w:rsidRDefault="00CD62AE" w:rsidP="006F6291">
      <w:pPr>
        <w:pStyle w:val="ListParagraph"/>
        <w:numPr>
          <w:ilvl w:val="0"/>
          <w:numId w:val="2"/>
        </w:numPr>
        <w:tabs>
          <w:tab w:val="left" w:pos="9720"/>
        </w:tabs>
        <w:autoSpaceDE w:val="0"/>
        <w:autoSpaceDN w:val="0"/>
        <w:adjustRightInd w:val="0"/>
        <w:spacing w:after="0" w:line="240" w:lineRule="auto"/>
        <w:ind w:left="-360" w:right="-360"/>
        <w:rPr>
          <w:rFonts w:ascii="AdvTT3713a231" w:hAnsi="AdvTT3713a231" w:cs="AdvTT3713a231"/>
          <w:color w:val="131413"/>
          <w:sz w:val="20"/>
          <w:szCs w:val="20"/>
        </w:rPr>
      </w:pPr>
      <w:proofErr w:type="gramStart"/>
      <w:r w:rsidRPr="00CD62AE">
        <w:rPr>
          <w:rFonts w:ascii="AdvTT3713a231" w:hAnsi="AdvTT3713a231" w:cs="AdvTT3713a231"/>
          <w:color w:val="131413"/>
          <w:sz w:val="20"/>
          <w:szCs w:val="20"/>
        </w:rPr>
        <w:t>nPOD</w:t>
      </w:r>
      <w:proofErr w:type="gramEnd"/>
      <w:r w:rsidRPr="00CD62AE">
        <w:rPr>
          <w:rFonts w:ascii="AdvTT3713a231" w:hAnsi="AdvTT3713a231" w:cs="AdvTT3713a231"/>
          <w:color w:val="131413"/>
          <w:sz w:val="20"/>
          <w:szCs w:val="20"/>
        </w:rPr>
        <w:t xml:space="preserve"> studies show that beta cell loss occurs with distinct patterns, indicating that the disease pathogenesis is likely heterogeneous and that more than one pathway may explain beta cell death. However, beta cell loss is not absolute and, in several patients insulin-positive beta cells and glucose transporters, are detectable for many years after diagnosis. These results, together with the persistence of insulitis, further support the concept that the disease process is chronic; importantly, these findings challenge the traditional view that beta cell loss is virtually complete at the time of clinical onset.</w:t>
      </w:r>
    </w:p>
    <w:p w:rsidR="00CD62AE" w:rsidRPr="00CD62AE" w:rsidRDefault="00CD62AE" w:rsidP="006F6291">
      <w:pPr>
        <w:pStyle w:val="ListParagraph"/>
        <w:tabs>
          <w:tab w:val="left" w:pos="9720"/>
        </w:tabs>
        <w:ind w:left="-360" w:right="-360"/>
        <w:rPr>
          <w:rFonts w:ascii="AdvTT3713a231" w:hAnsi="AdvTT3713a231" w:cs="AdvTT3713a231"/>
          <w:color w:val="131413"/>
          <w:sz w:val="20"/>
          <w:szCs w:val="20"/>
        </w:rPr>
      </w:pPr>
    </w:p>
    <w:p w:rsidR="00CD62AE" w:rsidRPr="00F469CB" w:rsidRDefault="00F469CB" w:rsidP="006F6291">
      <w:pPr>
        <w:pStyle w:val="ListParagraph"/>
        <w:numPr>
          <w:ilvl w:val="0"/>
          <w:numId w:val="2"/>
        </w:numPr>
        <w:tabs>
          <w:tab w:val="left" w:pos="9720"/>
        </w:tabs>
        <w:autoSpaceDE w:val="0"/>
        <w:autoSpaceDN w:val="0"/>
        <w:adjustRightInd w:val="0"/>
        <w:spacing w:after="0" w:line="240" w:lineRule="auto"/>
        <w:ind w:left="-360" w:right="-360"/>
      </w:pPr>
      <w:r w:rsidRPr="00F469CB">
        <w:rPr>
          <w:rFonts w:ascii="AdvTT3713a231" w:hAnsi="AdvTT3713a231" w:cs="AdvTT3713a231"/>
          <w:color w:val="131413"/>
          <w:sz w:val="20"/>
          <w:szCs w:val="20"/>
        </w:rPr>
        <w:t xml:space="preserve">Key mediators of endoplasmic reticulum stress were found in islets from T1D donors, such as C/EBP homologous protein (CHOP); the immunoglobulin heavy chain (BIP) was found expressed in insulin-positive islets with insulitis. Changes in key constituents of the extracellular matrix were also noted, such as </w:t>
      </w:r>
      <w:proofErr w:type="spellStart"/>
      <w:r w:rsidRPr="00F469CB">
        <w:rPr>
          <w:rFonts w:ascii="AdvTT3713a231" w:hAnsi="AdvTT3713a231" w:cs="AdvTT3713a231"/>
          <w:color w:val="131413"/>
          <w:sz w:val="20"/>
          <w:szCs w:val="20"/>
        </w:rPr>
        <w:t>hyaluronan</w:t>
      </w:r>
      <w:proofErr w:type="spellEnd"/>
      <w:r w:rsidRPr="00F469CB">
        <w:rPr>
          <w:rFonts w:ascii="AdvTT3713a231" w:hAnsi="AdvTT3713a231" w:cs="AdvTT3713a231"/>
          <w:color w:val="131413"/>
          <w:sz w:val="20"/>
          <w:szCs w:val="20"/>
        </w:rPr>
        <w:t xml:space="preserve">, a glycosaminoglycan that was dramatically up-regulated with the islet and outside endocrine cells juxtaposed to </w:t>
      </w:r>
      <w:proofErr w:type="spellStart"/>
      <w:r w:rsidRPr="00F469CB">
        <w:rPr>
          <w:rFonts w:ascii="AdvTT3713a231" w:hAnsi="AdvTT3713a231" w:cs="AdvTT3713a231"/>
          <w:color w:val="131413"/>
          <w:sz w:val="20"/>
          <w:szCs w:val="20"/>
        </w:rPr>
        <w:t>microvessels</w:t>
      </w:r>
      <w:proofErr w:type="spellEnd"/>
      <w:r w:rsidRPr="00F469CB">
        <w:rPr>
          <w:rFonts w:ascii="AdvTT3713a231" w:hAnsi="AdvTT3713a231" w:cs="AdvTT3713a231"/>
          <w:color w:val="131413"/>
          <w:sz w:val="20"/>
          <w:szCs w:val="20"/>
        </w:rPr>
        <w:t xml:space="preserve"> in </w:t>
      </w:r>
      <w:proofErr w:type="spellStart"/>
      <w:r w:rsidRPr="00F469CB">
        <w:rPr>
          <w:rFonts w:ascii="AdvTT3713a231" w:hAnsi="AdvTT3713a231" w:cs="AdvTT3713a231"/>
          <w:color w:val="131413"/>
          <w:sz w:val="20"/>
          <w:szCs w:val="20"/>
        </w:rPr>
        <w:t>nPOD</w:t>
      </w:r>
      <w:proofErr w:type="spellEnd"/>
      <w:r w:rsidRPr="00F469CB">
        <w:rPr>
          <w:rFonts w:ascii="AdvTT3713a231" w:hAnsi="AdvTT3713a231" w:cs="AdvTT3713a231"/>
          <w:color w:val="131413"/>
          <w:sz w:val="20"/>
          <w:szCs w:val="20"/>
        </w:rPr>
        <w:t xml:space="preserve"> donors with T1D; </w:t>
      </w:r>
      <w:proofErr w:type="spellStart"/>
      <w:r w:rsidRPr="00F469CB">
        <w:rPr>
          <w:rFonts w:ascii="AdvTT3713a231" w:hAnsi="AdvTT3713a231" w:cs="AdvTT3713a231"/>
          <w:color w:val="131413"/>
          <w:sz w:val="20"/>
          <w:szCs w:val="20"/>
        </w:rPr>
        <w:t>hyaluronan</w:t>
      </w:r>
      <w:proofErr w:type="spellEnd"/>
      <w:r w:rsidRPr="00F469CB">
        <w:rPr>
          <w:rFonts w:ascii="AdvTT3713a231" w:hAnsi="AdvTT3713a231" w:cs="AdvTT3713a231"/>
          <w:color w:val="131413"/>
          <w:sz w:val="20"/>
          <w:szCs w:val="20"/>
        </w:rPr>
        <w:t xml:space="preserve"> was also present around infiltrating cells in cases with insulitis. Importantly, these extracellular matrix components have been linked to lymphocyte adhesion and migration and to islet inflammation.</w:t>
      </w:r>
    </w:p>
    <w:p w:rsidR="00F469CB" w:rsidRDefault="00F469CB" w:rsidP="006F6291">
      <w:pPr>
        <w:pStyle w:val="ListParagraph"/>
        <w:tabs>
          <w:tab w:val="left" w:pos="9720"/>
        </w:tabs>
        <w:ind w:left="-360" w:right="-360"/>
      </w:pPr>
    </w:p>
    <w:p w:rsidR="00F469CB" w:rsidRPr="00295136" w:rsidRDefault="00295136" w:rsidP="006F6291">
      <w:pPr>
        <w:pStyle w:val="ListParagraph"/>
        <w:numPr>
          <w:ilvl w:val="0"/>
          <w:numId w:val="2"/>
        </w:numPr>
        <w:tabs>
          <w:tab w:val="left" w:pos="9720"/>
        </w:tabs>
        <w:autoSpaceDE w:val="0"/>
        <w:autoSpaceDN w:val="0"/>
        <w:adjustRightInd w:val="0"/>
        <w:spacing w:after="0" w:line="240" w:lineRule="auto"/>
        <w:ind w:left="-360" w:right="-360"/>
      </w:pPr>
      <w:r w:rsidRPr="00295136">
        <w:rPr>
          <w:rFonts w:ascii="AdvTT3713a231" w:hAnsi="AdvTT3713a231" w:cs="AdvTT3713a231"/>
          <w:color w:val="131413"/>
          <w:sz w:val="20"/>
          <w:szCs w:val="20"/>
        </w:rPr>
        <w:t xml:space="preserve">Ongoing analysis of the nPOD samples is providing additional evidence for an association of enteroviruses with T1D. Importantly, signs of </w:t>
      </w:r>
      <w:proofErr w:type="spellStart"/>
      <w:r w:rsidRPr="00295136">
        <w:rPr>
          <w:rFonts w:ascii="AdvTT3713a231" w:hAnsi="AdvTT3713a231" w:cs="AdvTT3713a231"/>
          <w:color w:val="131413"/>
          <w:sz w:val="20"/>
          <w:szCs w:val="20"/>
        </w:rPr>
        <w:t>enteroviral</w:t>
      </w:r>
      <w:proofErr w:type="spellEnd"/>
      <w:r w:rsidRPr="00295136">
        <w:rPr>
          <w:rFonts w:ascii="AdvTT3713a231" w:hAnsi="AdvTT3713a231" w:cs="AdvTT3713a231"/>
          <w:color w:val="131413"/>
          <w:sz w:val="20"/>
          <w:szCs w:val="20"/>
        </w:rPr>
        <w:t xml:space="preserve"> infection are seen also in those nPOD donors with a longer duration of disease; this finding may be explained by persistence of a viral infection or by the occurrence of multiple infections over time. Ultimately, more robust information about which viruses are more prevalent and a better characterization of the type of infection may provide support for vaccine development and clinical trials.</w:t>
      </w:r>
    </w:p>
    <w:p w:rsidR="00295136" w:rsidRDefault="00295136" w:rsidP="006F6291">
      <w:pPr>
        <w:pStyle w:val="ListParagraph"/>
        <w:tabs>
          <w:tab w:val="left" w:pos="9720"/>
        </w:tabs>
        <w:ind w:left="-360" w:right="-360"/>
      </w:pPr>
    </w:p>
    <w:p w:rsidR="004038A8" w:rsidRPr="004038A8" w:rsidRDefault="006F6291" w:rsidP="004038A8">
      <w:pPr>
        <w:pStyle w:val="ListParagraph"/>
        <w:numPr>
          <w:ilvl w:val="0"/>
          <w:numId w:val="2"/>
        </w:numPr>
        <w:tabs>
          <w:tab w:val="left" w:pos="9720"/>
        </w:tabs>
        <w:autoSpaceDE w:val="0"/>
        <w:autoSpaceDN w:val="0"/>
        <w:adjustRightInd w:val="0"/>
        <w:spacing w:after="0" w:line="240" w:lineRule="auto"/>
        <w:ind w:left="-360" w:right="-360"/>
      </w:pPr>
      <w:r w:rsidRPr="006F6291">
        <w:rPr>
          <w:rFonts w:ascii="AdvTT3713a231" w:hAnsi="AdvTT3713a231" w:cs="AdvTT3713a231"/>
          <w:color w:val="131413"/>
          <w:sz w:val="20"/>
          <w:szCs w:val="20"/>
        </w:rPr>
        <w:t xml:space="preserve">Beta cell replication appears more sustained in early life. While replication is possible in adult patients, it is rare. However, in nPOD donors with T2D, treatment with </w:t>
      </w:r>
      <w:proofErr w:type="spellStart"/>
      <w:r w:rsidRPr="006F6291">
        <w:rPr>
          <w:rFonts w:ascii="AdvTT3713a231" w:hAnsi="AdvTT3713a231" w:cs="AdvTT3713a231"/>
          <w:color w:val="131413"/>
          <w:sz w:val="20"/>
          <w:szCs w:val="20"/>
        </w:rPr>
        <w:t>incretins</w:t>
      </w:r>
      <w:proofErr w:type="spellEnd"/>
      <w:r w:rsidRPr="006F6291">
        <w:rPr>
          <w:rFonts w:ascii="AdvTT3713a231" w:hAnsi="AdvTT3713a231" w:cs="AdvTT3713a231"/>
          <w:color w:val="131413"/>
          <w:sz w:val="20"/>
          <w:szCs w:val="20"/>
        </w:rPr>
        <w:t xml:space="preserve"> was associated with the presence of insulin-glucagon double hormone-positive cells; these might represent a transitional cell type reflecting regeneration or pancreas remodeling</w:t>
      </w:r>
      <w:r>
        <w:rPr>
          <w:rFonts w:ascii="AdvTT3713a231" w:hAnsi="AdvTT3713a231" w:cs="AdvTT3713a231"/>
          <w:color w:val="131413"/>
          <w:sz w:val="20"/>
          <w:szCs w:val="20"/>
        </w:rPr>
        <w:t>.</w:t>
      </w:r>
    </w:p>
    <w:p w:rsidR="004038A8" w:rsidRPr="004038A8" w:rsidRDefault="004038A8" w:rsidP="004038A8">
      <w:pPr>
        <w:pStyle w:val="ListParagraph"/>
        <w:rPr>
          <w:rFonts w:ascii="AdvTT3713a231" w:hAnsi="AdvTT3713a231" w:cs="AdvTT3713a231"/>
          <w:color w:val="131413"/>
          <w:sz w:val="20"/>
          <w:szCs w:val="20"/>
        </w:rPr>
      </w:pPr>
    </w:p>
    <w:p w:rsidR="00214140" w:rsidRPr="004038A8" w:rsidRDefault="004038A8" w:rsidP="004038A8">
      <w:pPr>
        <w:pStyle w:val="ListParagraph"/>
        <w:numPr>
          <w:ilvl w:val="0"/>
          <w:numId w:val="2"/>
        </w:numPr>
        <w:tabs>
          <w:tab w:val="left" w:pos="9720"/>
        </w:tabs>
        <w:autoSpaceDE w:val="0"/>
        <w:autoSpaceDN w:val="0"/>
        <w:adjustRightInd w:val="0"/>
        <w:spacing w:after="0" w:line="240" w:lineRule="auto"/>
        <w:ind w:left="-360" w:right="-360"/>
      </w:pPr>
      <w:r w:rsidRPr="004038A8">
        <w:rPr>
          <w:rFonts w:ascii="AdvTT3713a231" w:hAnsi="AdvTT3713a231" w:cs="AdvTT3713a231"/>
          <w:color w:val="131413"/>
          <w:sz w:val="20"/>
          <w:szCs w:val="20"/>
        </w:rPr>
        <w:lastRenderedPageBreak/>
        <w:t xml:space="preserve">The analysis of the pancreas body weight revealed that T1D </w:t>
      </w:r>
      <w:proofErr w:type="spellStart"/>
      <w:r w:rsidRPr="004038A8">
        <w:rPr>
          <w:rFonts w:ascii="AdvTT3713a231" w:hAnsi="AdvTT3713a231" w:cs="AdvTT3713a231"/>
          <w:color w:val="131413"/>
          <w:sz w:val="20"/>
          <w:szCs w:val="20"/>
        </w:rPr>
        <w:t>pancreata</w:t>
      </w:r>
      <w:proofErr w:type="spellEnd"/>
      <w:r w:rsidRPr="004038A8">
        <w:rPr>
          <w:rFonts w:ascii="AdvTT3713a231" w:hAnsi="AdvTT3713a231" w:cs="AdvTT3713a231"/>
          <w:color w:val="131413"/>
          <w:sz w:val="20"/>
          <w:szCs w:val="20"/>
        </w:rPr>
        <w:t xml:space="preserve"> have reduced weight compared to those of nondiabetic donors. Importantly, the pancreas weight was also reduced in donors with autoantibodies. These findings suggest the hypothesis that exocrine abnormalities might exist in the T1D pancreas, resulting in reduced weight, and that such abnormalities may even precede T1D development. </w:t>
      </w:r>
    </w:p>
    <w:sectPr w:rsidR="00214140" w:rsidRPr="004038A8" w:rsidSect="004038A8">
      <w:headerReference w:type="default" r:id="rId7"/>
      <w:pgSz w:w="12240" w:h="15840"/>
      <w:pgMar w:top="1440" w:right="1440" w:bottom="90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D50" w:rsidRDefault="00333D50" w:rsidP="00A17C47">
      <w:pPr>
        <w:spacing w:after="0" w:line="240" w:lineRule="auto"/>
      </w:pPr>
      <w:r>
        <w:separator/>
      </w:r>
    </w:p>
  </w:endnote>
  <w:endnote w:type="continuationSeparator" w:id="0">
    <w:p w:rsidR="00333D50" w:rsidRDefault="00333D50" w:rsidP="00A17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vTT3713a231">
    <w:panose1 w:val="00000000000000000000"/>
    <w:charset w:val="00"/>
    <w:family w:val="roman"/>
    <w:notTrueType/>
    <w:pitch w:val="default"/>
    <w:sig w:usb0="00000003" w:usb1="00000000" w:usb2="00000000" w:usb3="00000000" w:csb0="00000001" w:csb1="00000000"/>
  </w:font>
  <w:font w:name="AdvTT50a2f13e.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D50" w:rsidRDefault="00333D50" w:rsidP="00A17C47">
      <w:pPr>
        <w:spacing w:after="0" w:line="240" w:lineRule="auto"/>
      </w:pPr>
      <w:r>
        <w:separator/>
      </w:r>
    </w:p>
  </w:footnote>
  <w:footnote w:type="continuationSeparator" w:id="0">
    <w:p w:rsidR="00333D50" w:rsidRDefault="00333D50" w:rsidP="00A17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C47" w:rsidRDefault="00A17C47">
    <w:pPr>
      <w:pStyle w:val="Header"/>
    </w:pPr>
    <w:r>
      <w:rPr>
        <w:noProof/>
      </w:rPr>
      <w:drawing>
        <wp:inline distT="0" distB="0" distL="0" distR="0" wp14:anchorId="3B83A7D3" wp14:editId="44CA127C">
          <wp:extent cx="5943600" cy="9010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01095"/>
                  </a:xfrm>
                  <a:prstGeom prst="rect">
                    <a:avLst/>
                  </a:prstGeom>
                  <a:noFill/>
                  <a:ln>
                    <a:noFill/>
                  </a:ln>
                </pic:spPr>
              </pic:pic>
            </a:graphicData>
          </a:graphic>
        </wp:inline>
      </w:drawing>
    </w:r>
  </w:p>
  <w:p w:rsidR="00A17C47" w:rsidRDefault="00A17C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9192F"/>
    <w:multiLevelType w:val="hybridMultilevel"/>
    <w:tmpl w:val="4EC8D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8D65AD"/>
    <w:multiLevelType w:val="hybridMultilevel"/>
    <w:tmpl w:val="8DBE5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6256F5"/>
    <w:multiLevelType w:val="hybridMultilevel"/>
    <w:tmpl w:val="7D942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C47"/>
    <w:rsid w:val="00214140"/>
    <w:rsid w:val="002201D2"/>
    <w:rsid w:val="00295136"/>
    <w:rsid w:val="00333D50"/>
    <w:rsid w:val="00365B73"/>
    <w:rsid w:val="004038A8"/>
    <w:rsid w:val="005636B4"/>
    <w:rsid w:val="006D00C6"/>
    <w:rsid w:val="006F6291"/>
    <w:rsid w:val="00807209"/>
    <w:rsid w:val="00A17C47"/>
    <w:rsid w:val="00B61D45"/>
    <w:rsid w:val="00BA68C8"/>
    <w:rsid w:val="00CD62AE"/>
    <w:rsid w:val="00F46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6F92C5-0F30-48B2-901C-7237EB94B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7C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C47"/>
    <w:rPr>
      <w:rFonts w:ascii="Tahoma" w:hAnsi="Tahoma" w:cs="Tahoma"/>
      <w:sz w:val="16"/>
      <w:szCs w:val="16"/>
    </w:rPr>
  </w:style>
  <w:style w:type="paragraph" w:styleId="Header">
    <w:name w:val="header"/>
    <w:basedOn w:val="Normal"/>
    <w:link w:val="HeaderChar"/>
    <w:uiPriority w:val="99"/>
    <w:unhideWhenUsed/>
    <w:rsid w:val="00A17C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C47"/>
  </w:style>
  <w:style w:type="paragraph" w:styleId="Footer">
    <w:name w:val="footer"/>
    <w:basedOn w:val="Normal"/>
    <w:link w:val="FooterChar"/>
    <w:uiPriority w:val="99"/>
    <w:unhideWhenUsed/>
    <w:rsid w:val="00A17C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C47"/>
  </w:style>
  <w:style w:type="paragraph" w:styleId="ListParagraph">
    <w:name w:val="List Paragraph"/>
    <w:basedOn w:val="Normal"/>
    <w:uiPriority w:val="34"/>
    <w:qFormat/>
    <w:rsid w:val="00365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693</Words>
  <Characters>3953</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UF Academic Health Center</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Mingder Yang</dc:creator>
  <cp:lastModifiedBy>Dolores Baldasare</cp:lastModifiedBy>
  <cp:revision>2</cp:revision>
  <dcterms:created xsi:type="dcterms:W3CDTF">2020-11-17T18:39:00Z</dcterms:created>
  <dcterms:modified xsi:type="dcterms:W3CDTF">2020-11-17T18:39:00Z</dcterms:modified>
</cp:coreProperties>
</file>